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980A" w14:textId="2496B915" w:rsidR="00F70D58" w:rsidRPr="009B02E1" w:rsidRDefault="009B02E1" w:rsidP="009B02E1">
      <w:pPr>
        <w:jc w:val="center"/>
        <w:rPr>
          <w:b/>
          <w:sz w:val="28"/>
          <w:szCs w:val="24"/>
          <w:lang w:val="de-DE"/>
        </w:rPr>
      </w:pPr>
      <w:r w:rsidRPr="009B02E1">
        <w:rPr>
          <w:b/>
          <w:sz w:val="28"/>
          <w:szCs w:val="24"/>
          <w:lang w:val="de-DE"/>
        </w:rPr>
        <w:t>Verordnung</w:t>
      </w:r>
    </w:p>
    <w:p w14:paraId="5436B97C" w14:textId="54EE6E36" w:rsidR="009B02E1" w:rsidRDefault="009B02E1">
      <w:pPr>
        <w:rPr>
          <w:lang w:val="de-DE"/>
        </w:rPr>
      </w:pPr>
    </w:p>
    <w:p w14:paraId="55FE6445" w14:textId="0BF42620" w:rsidR="009B02E1" w:rsidRDefault="009B02E1">
      <w:pPr>
        <w:rPr>
          <w:lang w:val="de-DE"/>
        </w:rPr>
      </w:pPr>
      <w:r>
        <w:rPr>
          <w:lang w:val="de-DE"/>
        </w:rPr>
        <w:t xml:space="preserve">des Gemeinderates der Gemeinde </w:t>
      </w:r>
      <w:r w:rsidR="00B14BA5">
        <w:rPr>
          <w:lang w:val="de-DE"/>
        </w:rPr>
        <w:t>Neuhaus</w:t>
      </w:r>
    </w:p>
    <w:p w14:paraId="371150AA" w14:textId="4DC74C0B" w:rsidR="009B02E1" w:rsidRDefault="009B02E1">
      <w:pPr>
        <w:rPr>
          <w:lang w:val="de-DE"/>
        </w:rPr>
      </w:pPr>
      <w:r>
        <w:rPr>
          <w:lang w:val="de-DE"/>
        </w:rPr>
        <w:t>vom _</w:t>
      </w:r>
      <w:proofErr w:type="gramStart"/>
      <w:r>
        <w:rPr>
          <w:lang w:val="de-DE"/>
        </w:rPr>
        <w:t>_.__._</w:t>
      </w:r>
      <w:proofErr w:type="gramEnd"/>
      <w:r>
        <w:rPr>
          <w:lang w:val="de-DE"/>
        </w:rPr>
        <w:t>___, Zahl: _________</w:t>
      </w:r>
    </w:p>
    <w:p w14:paraId="00CA5C6F" w14:textId="483B62EB" w:rsidR="009B02E1" w:rsidRDefault="009B02E1">
      <w:pPr>
        <w:rPr>
          <w:lang w:val="de-DE"/>
        </w:rPr>
      </w:pPr>
      <w:r>
        <w:rPr>
          <w:lang w:val="de-DE"/>
        </w:rPr>
        <w:t>mit der das örtliche Entwicklungskonzept 2025 erlassen wird.</w:t>
      </w:r>
    </w:p>
    <w:p w14:paraId="486D1AE9" w14:textId="77777777" w:rsidR="009B02E1" w:rsidRDefault="009B02E1">
      <w:pPr>
        <w:rPr>
          <w:lang w:val="de-DE"/>
        </w:rPr>
      </w:pPr>
    </w:p>
    <w:p w14:paraId="650DA674" w14:textId="619695BC" w:rsidR="009B02E1" w:rsidRDefault="009B02E1">
      <w:pPr>
        <w:rPr>
          <w:lang w:val="de-DE"/>
        </w:rPr>
      </w:pPr>
      <w:r>
        <w:rPr>
          <w:lang w:val="de-DE"/>
        </w:rPr>
        <w:t>Auf Grund des § 9 Abs. 1 Kärntner Raumordnungsgesetz 2021 - K-ROG 2021, LGBl. Nr. 17/2025, wird verordnet:</w:t>
      </w:r>
    </w:p>
    <w:p w14:paraId="08975EAE" w14:textId="77777777" w:rsidR="009B02E1" w:rsidRDefault="009B02E1">
      <w:pPr>
        <w:rPr>
          <w:lang w:val="de-DE"/>
        </w:rPr>
      </w:pPr>
    </w:p>
    <w:p w14:paraId="5BAEE44C" w14:textId="590F3DDF" w:rsidR="009B02E1" w:rsidRPr="009B02E1" w:rsidRDefault="009B02E1" w:rsidP="009B02E1">
      <w:pPr>
        <w:jc w:val="center"/>
        <w:rPr>
          <w:b/>
          <w:lang w:val="de-DE"/>
        </w:rPr>
      </w:pPr>
      <w:r w:rsidRPr="009B02E1">
        <w:rPr>
          <w:b/>
          <w:lang w:val="de-DE"/>
        </w:rPr>
        <w:t>§ 1 Geltungsbereich und Inhalt</w:t>
      </w:r>
    </w:p>
    <w:p w14:paraId="2DAFE835" w14:textId="79E732AB" w:rsidR="009B02E1" w:rsidRDefault="009B02E1" w:rsidP="009B02E1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Diese Verordnung gilt für den gesamten Aufgabenbereich des örtlichen Entwicklungskonzeptes als Grundlage für die planmäßige Gestaltung und Entwicklung des Gemeindegebietes der Gemeinde </w:t>
      </w:r>
      <w:r w:rsidR="00B14BA5">
        <w:rPr>
          <w:lang w:val="de-DE"/>
        </w:rPr>
        <w:t>Neuhaus</w:t>
      </w:r>
    </w:p>
    <w:p w14:paraId="6D3A4327" w14:textId="0C9C3C6C" w:rsidR="009B02E1" w:rsidRDefault="009B02E1" w:rsidP="009B02E1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Integrierende Bestandteile dieser Verordnung bilden die</w:t>
      </w:r>
    </w:p>
    <w:p w14:paraId="433A35FE" w14:textId="42851958" w:rsidR="009B02E1" w:rsidRDefault="009B02E1" w:rsidP="009B02E1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in Anlage 1 gelisteten textlichen Ausführungen über die Ziele und Maßnahmen für einen Planungszeitraum von 10 Jahren,</w:t>
      </w:r>
    </w:p>
    <w:p w14:paraId="775CAC50" w14:textId="25570200" w:rsidR="009B02E1" w:rsidRDefault="009B02E1" w:rsidP="009B02E1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in Anlage 2 grafisch dargestellte funktionale Gliederung über das hierarchisch geordnete Siedlungssystem, und</w:t>
      </w:r>
    </w:p>
    <w:p w14:paraId="5F1E1BB6" w14:textId="15E1561F" w:rsidR="009B02E1" w:rsidRDefault="009B02E1" w:rsidP="009B02E1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 xml:space="preserve">in Anlage 3 grafisch dargestellten Festlegungen der Entwicklungsziele im eigenen Wirkungsbereich der Gemeinde sowie über die sonstigen </w:t>
      </w:r>
      <w:proofErr w:type="spellStart"/>
      <w:r>
        <w:rPr>
          <w:lang w:val="de-DE"/>
        </w:rPr>
        <w:t>Ersichtlichmachungen</w:t>
      </w:r>
      <w:proofErr w:type="spellEnd"/>
      <w:r>
        <w:rPr>
          <w:lang w:val="de-DE"/>
        </w:rPr>
        <w:t xml:space="preserve"> und Festlegungen anderer Planungsträger (Entwicklungsplan im Maßstab 1:10.000)</w:t>
      </w:r>
    </w:p>
    <w:p w14:paraId="37E522DA" w14:textId="77777777" w:rsidR="009B02E1" w:rsidRDefault="009B02E1" w:rsidP="009B02E1">
      <w:pPr>
        <w:rPr>
          <w:lang w:val="de-DE"/>
        </w:rPr>
      </w:pPr>
    </w:p>
    <w:p w14:paraId="2FC4A198" w14:textId="410C03DC" w:rsidR="009B02E1" w:rsidRPr="009B02E1" w:rsidRDefault="009B02E1" w:rsidP="009B02E1">
      <w:pPr>
        <w:jc w:val="center"/>
        <w:rPr>
          <w:lang w:val="de-DE"/>
        </w:rPr>
      </w:pPr>
      <w:r w:rsidRPr="009B02E1">
        <w:rPr>
          <w:b/>
          <w:lang w:val="de-DE"/>
        </w:rPr>
        <w:t xml:space="preserve">§ </w:t>
      </w:r>
      <w:r>
        <w:rPr>
          <w:b/>
          <w:lang w:val="de-DE"/>
        </w:rPr>
        <w:t>2 Wirkung</w:t>
      </w:r>
    </w:p>
    <w:p w14:paraId="0CC7974D" w14:textId="5BED90CE" w:rsidR="009B02E1" w:rsidRDefault="009B02E1" w:rsidP="009B02E1">
      <w:pPr>
        <w:pStyle w:val="Listenabsatz"/>
        <w:numPr>
          <w:ilvl w:val="0"/>
          <w:numId w:val="5"/>
        </w:numPr>
        <w:rPr>
          <w:lang w:val="de-DE"/>
        </w:rPr>
      </w:pPr>
      <w:r w:rsidRPr="009B02E1">
        <w:rPr>
          <w:lang w:val="de-DE"/>
        </w:rPr>
        <w:t xml:space="preserve">Raumbedeutsame </w:t>
      </w:r>
      <w:r>
        <w:rPr>
          <w:lang w:val="de-DE"/>
        </w:rPr>
        <w:t>Maßnahmen der Gemeinde dürfen den Zielen des örtlichen Entwicklungskonzeptes nicht widersprechen.</w:t>
      </w:r>
    </w:p>
    <w:p w14:paraId="77AA6C77" w14:textId="1796D0F1" w:rsidR="009B02E1" w:rsidRDefault="009B02E1" w:rsidP="009B02E1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Das örtliche Entwicklungskonzept ist bei Vorliegen wichtiger im öffentlichen Interesse stehender Gründe zu ändern. </w:t>
      </w:r>
    </w:p>
    <w:p w14:paraId="47789ED6" w14:textId="10487D3B" w:rsidR="009B02E1" w:rsidRDefault="009B02E1" w:rsidP="009B02E1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Die Umsetzung der Maßnahmen unterliegt dem Vorbehalt ihrer Finanzierbarkeit.</w:t>
      </w:r>
    </w:p>
    <w:p w14:paraId="38105C85" w14:textId="77777777" w:rsidR="009B02E1" w:rsidRDefault="009B02E1" w:rsidP="009B02E1">
      <w:pPr>
        <w:rPr>
          <w:lang w:val="de-DE"/>
        </w:rPr>
      </w:pPr>
    </w:p>
    <w:p w14:paraId="73D66411" w14:textId="1EC88825" w:rsidR="009B02E1" w:rsidRDefault="009B02E1" w:rsidP="009B02E1">
      <w:pPr>
        <w:jc w:val="center"/>
        <w:rPr>
          <w:b/>
          <w:lang w:val="de-DE"/>
        </w:rPr>
      </w:pPr>
      <w:r w:rsidRPr="009B02E1">
        <w:rPr>
          <w:b/>
          <w:lang w:val="de-DE"/>
        </w:rPr>
        <w:t xml:space="preserve">§ </w:t>
      </w:r>
      <w:r>
        <w:rPr>
          <w:b/>
          <w:lang w:val="de-DE"/>
        </w:rPr>
        <w:t>3 Inkrafttreten</w:t>
      </w:r>
    </w:p>
    <w:p w14:paraId="678E8778" w14:textId="75725872" w:rsidR="009B02E1" w:rsidRDefault="009B02E1" w:rsidP="009B02E1">
      <w:pPr>
        <w:rPr>
          <w:lang w:val="de-DE"/>
        </w:rPr>
      </w:pPr>
      <w:r w:rsidRPr="009B02E1">
        <w:rPr>
          <w:lang w:val="de-DE"/>
        </w:rPr>
        <w:t xml:space="preserve">Die Verordnung </w:t>
      </w:r>
      <w:r>
        <w:rPr>
          <w:lang w:val="de-DE"/>
        </w:rPr>
        <w:t>tritt mit Ablauf des Tages der Kundmachung im elektronischen Amtsblatt in Kraft.</w:t>
      </w:r>
    </w:p>
    <w:p w14:paraId="4FC31779" w14:textId="77777777" w:rsidR="009B02E1" w:rsidRDefault="009B02E1" w:rsidP="009B02E1">
      <w:pPr>
        <w:rPr>
          <w:lang w:val="de-DE"/>
        </w:rPr>
      </w:pPr>
    </w:p>
    <w:p w14:paraId="5E32F4A9" w14:textId="0DA01E95" w:rsidR="009B02E1" w:rsidRDefault="009B02E1" w:rsidP="009B02E1">
      <w:pPr>
        <w:jc w:val="center"/>
        <w:rPr>
          <w:lang w:val="de-DE"/>
        </w:rPr>
      </w:pPr>
      <w:r>
        <w:rPr>
          <w:lang w:val="de-DE"/>
        </w:rPr>
        <w:t>Der Bürgermeister</w:t>
      </w:r>
    </w:p>
    <w:p w14:paraId="73553588" w14:textId="77777777" w:rsidR="009B02E1" w:rsidRDefault="009B02E1" w:rsidP="009B02E1">
      <w:pPr>
        <w:jc w:val="center"/>
        <w:rPr>
          <w:lang w:val="de-DE"/>
        </w:rPr>
      </w:pPr>
    </w:p>
    <w:p w14:paraId="5B876403" w14:textId="75D05F32" w:rsidR="009B02E1" w:rsidRPr="009B02E1" w:rsidRDefault="00B14BA5" w:rsidP="009B02E1">
      <w:pPr>
        <w:jc w:val="center"/>
        <w:rPr>
          <w:lang w:val="de-DE"/>
        </w:rPr>
      </w:pPr>
      <w:r>
        <w:rPr>
          <w:lang w:val="de-DE"/>
        </w:rPr>
        <w:t xml:space="preserve">Patrick </w:t>
      </w:r>
      <w:proofErr w:type="spellStart"/>
      <w:r>
        <w:rPr>
          <w:lang w:val="de-DE"/>
        </w:rPr>
        <w:t>Skubel</w:t>
      </w:r>
      <w:proofErr w:type="spellEnd"/>
    </w:p>
    <w:sectPr w:rsidR="009B02E1" w:rsidRPr="009B02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F5830"/>
    <w:multiLevelType w:val="hybridMultilevel"/>
    <w:tmpl w:val="63901EFC"/>
    <w:lvl w:ilvl="0" w:tplc="2FEE4E8A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FA616A"/>
    <w:multiLevelType w:val="multilevel"/>
    <w:tmpl w:val="2AFAFD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9507" w:hanging="576"/>
      </w:pPr>
      <w:rPr>
        <w:b w:val="0"/>
        <w:sz w:val="28"/>
        <w:szCs w:val="28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AA85D3B"/>
    <w:multiLevelType w:val="hybridMultilevel"/>
    <w:tmpl w:val="DCE27048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1861556">
    <w:abstractNumId w:val="1"/>
  </w:num>
  <w:num w:numId="2" w16cid:durableId="784153998">
    <w:abstractNumId w:val="1"/>
  </w:num>
  <w:num w:numId="3" w16cid:durableId="1459182502">
    <w:abstractNumId w:val="1"/>
  </w:num>
  <w:num w:numId="4" w16cid:durableId="2049866956">
    <w:abstractNumId w:val="2"/>
  </w:num>
  <w:num w:numId="5" w16cid:durableId="156988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1"/>
    <w:rsid w:val="00101BBF"/>
    <w:rsid w:val="004A3B87"/>
    <w:rsid w:val="004E2BA4"/>
    <w:rsid w:val="005910A3"/>
    <w:rsid w:val="006A67E3"/>
    <w:rsid w:val="007049CD"/>
    <w:rsid w:val="008A3104"/>
    <w:rsid w:val="00911F3B"/>
    <w:rsid w:val="009A0D04"/>
    <w:rsid w:val="009B02E1"/>
    <w:rsid w:val="00B14BA5"/>
    <w:rsid w:val="00BB3832"/>
    <w:rsid w:val="00C055DA"/>
    <w:rsid w:val="00DE4DE4"/>
    <w:rsid w:val="00F7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5426"/>
  <w15:chartTrackingRefBased/>
  <w15:docId w15:val="{93F3450A-C607-4C1C-9979-247CD4C5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1F3B"/>
    <w:pPr>
      <w:spacing w:line="360" w:lineRule="auto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4E2BA4"/>
    <w:pPr>
      <w:keepNext/>
      <w:pBdr>
        <w:bottom w:val="single" w:sz="4" w:space="1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055DA"/>
    <w:pPr>
      <w:keepNext/>
      <w:numPr>
        <w:ilvl w:val="1"/>
        <w:numId w:val="3"/>
      </w:numPr>
      <w:spacing w:before="80"/>
      <w:outlineLvl w:val="1"/>
    </w:pPr>
    <w:rPr>
      <w:rFonts w:ascii="Verdana" w:eastAsia="Times New Roman" w:hAnsi="Verdana"/>
      <w:b/>
      <w:color w:val="000000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C055DA"/>
    <w:pPr>
      <w:keepNext/>
      <w:numPr>
        <w:ilvl w:val="2"/>
        <w:numId w:val="3"/>
      </w:numPr>
      <w:tabs>
        <w:tab w:val="left" w:pos="1"/>
        <w:tab w:val="left" w:pos="316"/>
        <w:tab w:val="left" w:pos="543"/>
        <w:tab w:val="left" w:pos="770"/>
        <w:tab w:val="left" w:pos="99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</w:tabs>
      <w:spacing w:line="300" w:lineRule="auto"/>
      <w:jc w:val="both"/>
      <w:outlineLvl w:val="2"/>
    </w:pPr>
    <w:rPr>
      <w:rFonts w:ascii="Tahoma" w:eastAsia="Times New Roman" w:hAnsi="Tahoma"/>
      <w:sz w:val="24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0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02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02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02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02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02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link w:val="Formatvorlage1Zchn"/>
    <w:qFormat/>
    <w:rsid w:val="00C055DA"/>
    <w:rPr>
      <w:rFonts w:ascii="Verdana" w:hAnsi="Verdana" w:cs="Times New Roman"/>
      <w:b w:val="0"/>
      <w:color w:val="000000"/>
      <w:lang w:eastAsia="x-none"/>
    </w:rPr>
  </w:style>
  <w:style w:type="character" w:customStyle="1" w:styleId="Formatvorlage1Zchn">
    <w:name w:val="Formatvorlage1 Zchn"/>
    <w:link w:val="Formatvorlage1"/>
    <w:rsid w:val="00C055DA"/>
    <w:rPr>
      <w:rFonts w:ascii="Verdana" w:eastAsia="Times New Roman" w:hAnsi="Verdana"/>
      <w:b/>
      <w:color w:val="000000"/>
      <w:sz w:val="32"/>
      <w:szCs w:val="32"/>
      <w:lang w:eastAsia="x-none"/>
    </w:rPr>
  </w:style>
  <w:style w:type="character" w:customStyle="1" w:styleId="berschrift1Zchn">
    <w:name w:val="Überschrift 1 Zchn"/>
    <w:basedOn w:val="Absatz-Standardschriftart"/>
    <w:link w:val="berschrift1"/>
    <w:rsid w:val="004E2BA4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rsid w:val="00C055DA"/>
    <w:rPr>
      <w:rFonts w:ascii="Verdana" w:eastAsia="Times New Roman" w:hAnsi="Verdana"/>
      <w:b/>
      <w:color w:val="000000"/>
      <w:sz w:val="22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rsid w:val="00C055DA"/>
    <w:rPr>
      <w:rFonts w:ascii="Tahoma" w:eastAsia="Times New Roman" w:hAnsi="Tahoma"/>
      <w:sz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02E1"/>
    <w:rPr>
      <w:rFonts w:asciiTheme="minorHAnsi" w:eastAsiaTheme="majorEastAsia" w:hAnsiTheme="minorHAnsi" w:cstheme="majorBidi"/>
      <w:i/>
      <w:iCs/>
      <w:color w:val="365F9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02E1"/>
    <w:rPr>
      <w:rFonts w:asciiTheme="minorHAnsi" w:eastAsiaTheme="majorEastAsia" w:hAnsiTheme="minorHAnsi" w:cstheme="majorBidi"/>
      <w:color w:val="365F9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02E1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02E1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02E1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02E1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9B0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02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2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0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02E1"/>
    <w:rPr>
      <w:rFonts w:asciiTheme="minorHAnsi" w:hAnsiTheme="minorHAnsi"/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9B02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02E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02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2E1"/>
    <w:rPr>
      <w:rFonts w:asciiTheme="minorHAnsi" w:hAnsiTheme="minorHAnsi"/>
      <w:i/>
      <w:iCs/>
      <w:color w:val="365F91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9B02E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Jernej</dc:creator>
  <cp:keywords/>
  <dc:description/>
  <cp:lastModifiedBy>Silvester Jernej</cp:lastModifiedBy>
  <cp:revision>2</cp:revision>
  <dcterms:created xsi:type="dcterms:W3CDTF">2025-03-19T07:39:00Z</dcterms:created>
  <dcterms:modified xsi:type="dcterms:W3CDTF">2025-06-24T08:07:00Z</dcterms:modified>
</cp:coreProperties>
</file>